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03" w:rsidRPr="00E85103" w:rsidRDefault="00E85103" w:rsidP="00E85103">
      <w:pPr>
        <w:spacing w:line="540" w:lineRule="atLeast"/>
        <w:jc w:val="center"/>
        <w:textAlignment w:val="baseline"/>
        <w:rPr>
          <w:rFonts w:ascii="Arial" w:eastAsia="Arial" w:hAnsi="Arial" w:cs="Times New Roman" w:hint="eastAsia"/>
          <w:b/>
          <w:color w:val="B23F3F"/>
          <w:sz w:val="40"/>
          <w:szCs w:val="28"/>
          <w14:ligatures w14:val="standardContextual"/>
        </w:rPr>
      </w:pPr>
      <w:bookmarkStart w:id="0" w:name="_GoBack"/>
      <w:r w:rsidRPr="00E85103"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Radar Thunder X-10</w:t>
      </w:r>
    </w:p>
    <w:bookmarkEnd w:id="0"/>
    <w:p w:rsidR="00E85103" w:rsidRPr="00E85103" w:rsidRDefault="00E85103" w:rsidP="00E85103">
      <w:pPr>
        <w:spacing w:line="540" w:lineRule="atLeast"/>
        <w:jc w:val="center"/>
        <w:textAlignment w:val="baseline"/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</w:pPr>
    </w:p>
    <w:p w:rsidR="00E85103" w:rsidRPr="00E85103" w:rsidRDefault="00E85103" w:rsidP="00E85103">
      <w:pPr>
        <w:spacing w:line="540" w:lineRule="atLeast"/>
        <w:jc w:val="center"/>
        <w:textAlignment w:val="baseline"/>
        <w:rPr>
          <w:rFonts w:ascii="Arial" w:eastAsia="Arial" w:hAnsi="Arial" w:cs="Times New Roman" w:hint="eastAsia"/>
          <w:b/>
          <w:color w:val="B23F3F"/>
          <w:sz w:val="40"/>
          <w:szCs w:val="28"/>
          <w14:ligatures w14:val="standardContextual"/>
        </w:rPr>
      </w:pPr>
      <w:r w:rsidRPr="00E85103">
        <w:rPr>
          <w:rFonts w:ascii="Arial" w:eastAsia="Arial" w:hAnsi="Arial" w:cs="Times New Roman"/>
          <w:b/>
          <w:color w:val="B23F3F"/>
          <w:sz w:val="40"/>
          <w:szCs w:val="28"/>
          <w14:ligatures w14:val="standardContextual"/>
        </w:rPr>
        <w:t>PRODUCT OVERVIEW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4"/>
        <w:gridCol w:w="926"/>
      </w:tblGrid>
      <w:tr w:rsidR="00E85103" w:rsidRPr="00E85103" w:rsidTr="00E85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after="15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85103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8CF21AA" wp14:editId="1D4B4D01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-412750</wp:posOffset>
                  </wp:positionV>
                  <wp:extent cx="2124075" cy="1962150"/>
                  <wp:effectExtent l="0" t="0" r="9525" b="0"/>
                  <wp:wrapSquare wrapText="bothSides"/>
                  <wp:docPr id="2" name="图片 2" descr="https://img.website.xin/contents/sitefiles10830/54153166/images/1756775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website.xin/contents/sitefiles10830/54153166/images/1756775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The 10km Phased Array Low-Altitude Small Target Detection Radar, model Thunder X-10, is an advanced all-solid-state, fully digital radar system engineered specifically for detecting low-altitude, slow-speed, and small-sized (LSS) targets.</w:t>
      </w:r>
    </w:p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Adopting a four-faced two-dimensional phased array configuration and leveraging the micro doppler operating principle, this radar integrates cutting-edge technologies such as clutter suppression, target tracking, and intelligent recognition algorithms.</w:t>
      </w:r>
    </w:p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It enables round-the-clock, all-weather, and full-airspace detection, tracking, and classification of various LSS targets, including multi-rotor UAVs, fixed-wing UAVs, and birds.</w:t>
      </w:r>
    </w:p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Designed to adapt to two core deployment scenarios – fixed installation and vehicle-mounted mobile deployment – this radar offers versatile application capabilities.</w:t>
      </w:r>
    </w:p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It can provide long-term fixed security surveillance for critical locations and key security areas, while also being mountable on various mobile platforms to fulfill on-the-go detection and temporary defense tasks.</w:t>
      </w:r>
    </w:p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color w:val="1F2329"/>
          <w:kern w:val="0"/>
          <w:sz w:val="24"/>
          <w:szCs w:val="24"/>
        </w:rPr>
        <w:t>With a highly integrated and modular design, the radar supports quick disassembly, rapid deployment, and easy replacement, allowing it to flexibly meet the requirements of different installation environments and mission objectives.</w:t>
      </w:r>
    </w:p>
    <w:p w:rsidR="00E85103" w:rsidRPr="00E85103" w:rsidRDefault="00E85103" w:rsidP="00E85103">
      <w:pPr>
        <w:widowControl/>
        <w:spacing w:line="540" w:lineRule="atLeast"/>
        <w:rPr>
          <w:rFonts w:ascii="微软雅黑" w:eastAsia="微软雅黑" w:hAnsi="微软雅黑" w:cs="宋体" w:hint="eastAsia"/>
          <w:color w:val="404040"/>
          <w:kern w:val="0"/>
          <w:sz w:val="44"/>
          <w:szCs w:val="44"/>
        </w:rPr>
      </w:pPr>
      <w:r w:rsidRPr="00E85103">
        <w:rPr>
          <w:rFonts w:ascii="微软雅黑" w:eastAsia="微软雅黑" w:hAnsi="微软雅黑" w:cs="宋体" w:hint="eastAsia"/>
          <w:color w:val="404040"/>
          <w:kern w:val="0"/>
          <w:sz w:val="44"/>
          <w:szCs w:val="44"/>
        </w:rPr>
        <w:t> </w:t>
      </w:r>
    </w:p>
    <w:p w:rsidR="00E85103" w:rsidRPr="00E85103" w:rsidRDefault="00E85103" w:rsidP="00E85103">
      <w:pPr>
        <w:widowControl/>
        <w:spacing w:line="520" w:lineRule="atLeast"/>
        <w:jc w:val="center"/>
        <w:rPr>
          <w:rFonts w:ascii="微软雅黑" w:eastAsia="微软雅黑" w:hAnsi="微软雅黑" w:cs="宋体" w:hint="eastAsia"/>
          <w:color w:val="404040"/>
          <w:kern w:val="0"/>
          <w:szCs w:val="21"/>
        </w:rPr>
      </w:pPr>
      <w:r w:rsidRPr="00E85103"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  <w:lastRenderedPageBreak/>
        <w:t>TECHNICAL SPECIFICATIONS</w:t>
      </w:r>
    </w:p>
    <w:tbl>
      <w:tblPr>
        <w:tblW w:w="820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098"/>
      </w:tblGrid>
      <w:tr w:rsidR="00E85103" w:rsidRPr="00E85103" w:rsidTr="00E85103">
        <w:trPr>
          <w:trHeight w:val="353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B94242"/>
                <w:kern w:val="0"/>
                <w:sz w:val="22"/>
              </w:rPr>
              <w:t>System</w:t>
            </w:r>
            <w:r w:rsidRPr="00E85103">
              <w:rPr>
                <w:rFonts w:ascii="Arial" w:eastAsia="宋体" w:hAnsi="Arial" w:cs="Arial"/>
                <w:b/>
                <w:bCs/>
                <w:color w:val="B94242"/>
                <w:kern w:val="0"/>
                <w:sz w:val="22"/>
              </w:rPr>
              <w:t> </w:t>
            </w:r>
            <w:r w:rsidRPr="00E85103">
              <w:rPr>
                <w:rFonts w:ascii="Arial" w:eastAsia="宋体" w:hAnsi="Arial" w:cs="Arial"/>
                <w:color w:val="B94242"/>
                <w:kern w:val="0"/>
                <w:sz w:val="22"/>
              </w:rPr>
              <w:t>Attribute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B94242"/>
                <w:kern w:val="0"/>
                <w:sz w:val="22"/>
              </w:rPr>
              <w:t>Parameter</w:t>
            </w:r>
          </w:p>
        </w:tc>
      </w:tr>
      <w:tr w:rsidR="00E85103" w:rsidRPr="00E85103" w:rsidTr="00E85103">
        <w:trPr>
          <w:trHeight w:val="558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Frequency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X-band with Micro Doppler</w:t>
            </w:r>
          </w:p>
        </w:tc>
      </w:tr>
      <w:tr w:rsidR="00E85103" w:rsidRPr="00E85103" w:rsidTr="00E85103">
        <w:trPr>
          <w:trHeight w:val="521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Target Detection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≥ 10Km (RCS:0.01m²) (Ex: DJI PHANTOM 4)</w:t>
            </w:r>
          </w:p>
        </w:tc>
      </w:tr>
      <w:tr w:rsidR="00E85103" w:rsidRPr="00E85103" w:rsidTr="00E85103">
        <w:trPr>
          <w:trHeight w:val="539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Azimuth Coverage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360°</w:t>
            </w:r>
          </w:p>
        </w:tc>
      </w:tr>
      <w:tr w:rsidR="00E85103" w:rsidRPr="00E85103" w:rsidTr="00E85103">
        <w:trPr>
          <w:trHeight w:val="539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Elevation Coverage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0-90°</w:t>
            </w:r>
          </w:p>
        </w:tc>
      </w:tr>
      <w:tr w:rsidR="00E85103" w:rsidRPr="00E85103" w:rsidTr="00E85103">
        <w:trPr>
          <w:trHeight w:val="577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Velocity Coverage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0.5m/s-100m/s</w:t>
            </w:r>
          </w:p>
        </w:tc>
      </w:tr>
      <w:tr w:rsidR="00E85103" w:rsidRPr="00E85103" w:rsidTr="00E85103">
        <w:trPr>
          <w:trHeight w:val="502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Simultaneous Tracking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≥ 40 Targets (continuous and automatic)</w:t>
            </w:r>
          </w:p>
        </w:tc>
      </w:tr>
      <w:tr w:rsidR="00E85103" w:rsidRPr="00E85103" w:rsidTr="00E85103">
        <w:trPr>
          <w:trHeight w:val="539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Data Rate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Search: 5s, Tracking: 0.5s</w:t>
            </w:r>
          </w:p>
        </w:tc>
      </w:tr>
      <w:tr w:rsidR="00E85103" w:rsidRPr="00E85103" w:rsidTr="00E85103">
        <w:trPr>
          <w:trHeight w:val="577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Accuracy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Range:10m, Azimuth: 0.3°, Elevation: 0.3°</w:t>
            </w:r>
          </w:p>
        </w:tc>
      </w:tr>
      <w:tr w:rsidR="00E85103" w:rsidRPr="00E85103" w:rsidTr="00E85103">
        <w:trPr>
          <w:trHeight w:val="502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Blind Zone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150m</w:t>
            </w:r>
          </w:p>
        </w:tc>
      </w:tr>
      <w:tr w:rsidR="00E85103" w:rsidRPr="00E85103" w:rsidTr="00E85103">
        <w:trPr>
          <w:trHeight w:val="558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Weight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125kg</w:t>
            </w:r>
          </w:p>
        </w:tc>
      </w:tr>
      <w:tr w:rsidR="00E85103" w:rsidRPr="00E85103" w:rsidTr="00E85103">
        <w:trPr>
          <w:trHeight w:val="539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Power Supply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24V/220V</w:t>
            </w:r>
          </w:p>
        </w:tc>
      </w:tr>
      <w:tr w:rsidR="00E85103" w:rsidRPr="00E85103" w:rsidTr="00E85103">
        <w:trPr>
          <w:trHeight w:val="577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Power Consumption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3500W</w:t>
            </w:r>
          </w:p>
        </w:tc>
      </w:tr>
      <w:tr w:rsidR="00E85103" w:rsidRPr="00E85103" w:rsidTr="00E85103">
        <w:trPr>
          <w:trHeight w:val="521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Dimensions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600x315x113mm (Single array)</w:t>
            </w:r>
          </w:p>
        </w:tc>
      </w:tr>
      <w:tr w:rsidR="00E85103" w:rsidRPr="00E85103" w:rsidTr="00E85103">
        <w:trPr>
          <w:trHeight w:val="539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Protection Standard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IP65 (Certified by Manufacturer)</w:t>
            </w:r>
          </w:p>
        </w:tc>
      </w:tr>
      <w:tr w:rsidR="00E85103" w:rsidRPr="00E85103" w:rsidTr="00E85103">
        <w:trPr>
          <w:trHeight w:val="893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Frequency Compliance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Comply with Electromagnetic Compatibility (EMC) and Electromagnetic Interference (EMI) (Certified by Manufacturer)</w:t>
            </w:r>
          </w:p>
        </w:tc>
      </w:tr>
      <w:tr w:rsidR="00E85103" w:rsidRPr="00E85103" w:rsidTr="00E85103">
        <w:trPr>
          <w:trHeight w:val="558"/>
        </w:trPr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Operating Temperature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103" w:rsidRPr="00E85103" w:rsidRDefault="00E85103" w:rsidP="00E85103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-40</w:t>
            </w:r>
            <w:r w:rsidRPr="00E85103">
              <w:rPr>
                <w:rFonts w:ascii="Cambria Math" w:eastAsia="宋体" w:hAnsi="Cambria Math" w:cs="宋体"/>
                <w:color w:val="000000"/>
                <w:kern w:val="0"/>
                <w:sz w:val="22"/>
              </w:rPr>
              <w:t>℃</w:t>
            </w:r>
            <w:r w:rsidRPr="00E85103">
              <w:rPr>
                <w:rFonts w:ascii="Arial" w:eastAsia="宋体" w:hAnsi="Arial" w:cs="Arial"/>
                <w:color w:val="000000"/>
                <w:kern w:val="0"/>
                <w:sz w:val="22"/>
              </w:rPr>
              <w:t>~60</w:t>
            </w:r>
            <w:r w:rsidRPr="00E85103">
              <w:rPr>
                <w:rFonts w:ascii="Cambria Math" w:eastAsia="宋体" w:hAnsi="Cambria Math" w:cs="宋体"/>
                <w:color w:val="000000"/>
                <w:kern w:val="0"/>
                <w:sz w:val="22"/>
              </w:rPr>
              <w:t>℃</w:t>
            </w:r>
          </w:p>
        </w:tc>
      </w:tr>
    </w:tbl>
    <w:p w:rsidR="00E85103" w:rsidRPr="00E85103" w:rsidRDefault="00E85103" w:rsidP="00E85103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2"/>
        </w:rPr>
      </w:pPr>
      <w:r w:rsidRPr="00E85103">
        <w:rPr>
          <w:rFonts w:ascii="微软雅黑" w:eastAsia="微软雅黑" w:hAnsi="微软雅黑" w:cs="宋体" w:hint="eastAsia"/>
          <w:color w:val="404040"/>
          <w:kern w:val="0"/>
          <w:sz w:val="22"/>
        </w:rPr>
        <w:t> </w:t>
      </w:r>
    </w:p>
    <w:p w:rsidR="003D71CF" w:rsidRDefault="003D71CF"/>
    <w:sectPr w:rsidR="003D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03"/>
    <w:rsid w:val="003D71CF"/>
    <w:rsid w:val="00E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D096"/>
  <w15:chartTrackingRefBased/>
  <w15:docId w15:val="{18DF27D2-3153-40B7-AD6A-31EA9CB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851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51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5103"/>
    <w:rPr>
      <w:b/>
      <w:bCs/>
    </w:rPr>
  </w:style>
  <w:style w:type="paragraph" w:customStyle="1" w:styleId="normal">
    <w:name w:val="normal"/>
    <w:basedOn w:val="a"/>
    <w:rsid w:val="00E851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1">
    <w:name w:val="normal1"/>
    <w:basedOn w:val="a0"/>
    <w:rsid w:val="00E85103"/>
  </w:style>
  <w:style w:type="paragraph" w:customStyle="1" w:styleId="list-paragraph">
    <w:name w:val="list-paragraph"/>
    <w:basedOn w:val="a"/>
    <w:rsid w:val="00E851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2026-04-21T17:02:00Z</dcterms:created>
  <dcterms:modified xsi:type="dcterms:W3CDTF">2026-04-21T17:05:00Z</dcterms:modified>
</cp:coreProperties>
</file>